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ANEXO III AO EDITAL DO PREGÃO SRP Nº 09/2023 – B ADM AP CMO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</w:pPr>
    </w:p>
    <w:p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13970</wp:posOffset>
            </wp:positionV>
            <wp:extent cx="816610" cy="848360"/>
            <wp:effectExtent l="0" t="0" r="2540" b="8890"/>
            <wp:wrapNone/>
            <wp:docPr id="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/>
                    <pic:cNvPicPr>
                      <a:picLocks noChangeAspect="1"/>
                    </pic:cNvPicPr>
                  </pic:nvPicPr>
                  <pic:blipFill>
                    <a:blip r:embed="rId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84836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76" w:lineRule="auto"/>
        <w:ind w:right="-17"/>
        <w:jc w:val="center"/>
        <w:rPr>
          <w:rFonts w:ascii="Times New Roman" w:hAnsi="Times New Roman" w:cs="Times New Roman"/>
          <w:iCs/>
          <w:color w:val="FF0000"/>
          <w:sz w:val="16"/>
          <w:szCs w:val="16"/>
        </w:rPr>
      </w:pPr>
    </w:p>
    <w:p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jc w:val="center"/>
        <w:rPr>
          <w:rFonts w:ascii="Arial" w:hAnsi="Arial" w:cs="Arial"/>
          <w:b/>
          <w:bCs/>
          <w:sz w:val="10"/>
          <w:szCs w:val="10"/>
        </w:rPr>
      </w:pPr>
    </w:p>
    <w:p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MINISTÉRIO DA DEFESA</w:t>
      </w:r>
    </w:p>
    <w:p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>
      <w:pPr>
        <w:jc w:val="center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iCs/>
          <w:color w:val="000000"/>
          <w:sz w:val="20"/>
          <w:szCs w:val="20"/>
        </w:rPr>
        <w:t>BASE DE ADMINISTRAÇÃO E APOIO DO COMANDO MILITAR DO OESTE</w:t>
      </w:r>
    </w:p>
    <w:p>
      <w:pPr>
        <w:jc w:val="center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iCs/>
          <w:color w:val="000000"/>
          <w:sz w:val="20"/>
          <w:szCs w:val="20"/>
        </w:rPr>
        <w:t>(BASE ENHENGEIRO ARMANDO DE ARRUDA PEREIRA)</w:t>
      </w:r>
    </w:p>
    <w:p>
      <w:pPr>
        <w:jc w:val="center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</w:p>
    <w:p>
      <w:pPr>
        <w:jc w:val="center"/>
        <w:rPr>
          <w:rFonts w:ascii="Times New Roman" w:hAnsi="Times New Roman" w:cs="Times New Roman"/>
          <w:bCs/>
          <w:iCs/>
          <w:color w:val="000000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ATA DE REGISTRO DE PREÇOS Nº </w:t>
      </w:r>
      <w:r>
        <w:rPr>
          <w:rFonts w:hint="default" w:ascii="Times New Roman" w:hAnsi="Times New Roman" w:cs="Times New Roman"/>
          <w:b/>
          <w:sz w:val="20"/>
          <w:szCs w:val="20"/>
          <w:lang w:val="pt-BR"/>
        </w:rPr>
        <w:t>____</w:t>
      </w:r>
      <w:r>
        <w:rPr>
          <w:rFonts w:ascii="Times New Roman" w:hAnsi="Times New Roman" w:cs="Times New Roman"/>
          <w:b/>
          <w:sz w:val="20"/>
          <w:szCs w:val="20"/>
        </w:rPr>
        <w:t>/2023</w:t>
      </w: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sz w:val="20"/>
          <w:szCs w:val="20"/>
        </w:rPr>
      </w:pPr>
    </w:p>
    <w:p>
      <w:pPr>
        <w:widowControl w:val="0"/>
        <w:spacing w:after="120"/>
        <w:ind w:right="-2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Pregão Eletrônico para Registro de Preços nº 09/2023</w:t>
      </w: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bCs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Base de Administração e Apoio do Comando Militar do Oeste, com sede na Avenida Duque de Caxias, 1628, Bairro Amambaí, na cidade de Campo Grande- MS, inscrito no CNPJ sob o nº 09.559.304/0001-68, neste ato representado por seu Ordenador de Despesas, </w:t>
      </w:r>
      <w:r>
        <w:rPr>
          <w:rFonts w:ascii="Times New Roman" w:hAnsi="Times New Roman" w:eastAsia="Malgun Gothic" w:cs="Times New Roman"/>
          <w:color w:val="000000"/>
          <w:lang w:eastAsia="zh-CN" w:bidi="ar"/>
        </w:rPr>
        <w:t>HUGO SÉRGIO DIAS AMARAL</w:t>
      </w:r>
      <w:r>
        <w:rPr>
          <w:rFonts w:ascii="Times New Roman" w:hAnsi="Times New Roman" w:cs="Times New Roman"/>
        </w:rPr>
        <w:t xml:space="preserve">, nomeado pelo Boletim Interno </w:t>
      </w:r>
      <w:r>
        <w:rPr>
          <w:rFonts w:ascii="Times New Roman" w:hAnsi="Times New Roman" w:eastAsia="Malgun Gothic" w:cs="Times New Roman"/>
          <w:color w:val="000000"/>
        </w:rPr>
        <w:t>nº 134, de 19 de julho de 2022</w:t>
      </w:r>
      <w:r>
        <w:rPr>
          <w:rFonts w:ascii="Times New Roman" w:hAnsi="Times New Roman" w:cs="Times New Roman"/>
        </w:rPr>
        <w:t xml:space="preserve">, inscrito no CPF sob o nº </w:t>
      </w:r>
      <w:r>
        <w:rPr>
          <w:rFonts w:ascii="Times New Roman" w:hAnsi="Times New Roman" w:eastAsia="Malgun Gothic" w:cs="Times New Roman"/>
          <w:color w:val="000000"/>
          <w:lang w:eastAsia="zh-CN" w:bidi="ar"/>
        </w:rPr>
        <w:t>120.547.778-03</w:t>
      </w:r>
      <w:r>
        <w:rPr>
          <w:rFonts w:ascii="Times New Roman" w:hAnsi="Times New Roman" w:cs="Times New Roman"/>
        </w:rPr>
        <w:t xml:space="preserve">, portador da Carteira de Identidade n° </w:t>
      </w:r>
      <w:r>
        <w:rPr>
          <w:rFonts w:ascii="Times New Roman" w:hAnsi="Times New Roman" w:eastAsia="Malgun Gothic" w:cs="Times New Roman"/>
          <w:color w:val="000000"/>
          <w:lang w:eastAsia="zh-CN" w:bidi="ar"/>
        </w:rPr>
        <w:t>020335324-8</w:t>
      </w:r>
      <w:r>
        <w:rPr>
          <w:rFonts w:ascii="Times New Roman" w:hAnsi="Times New Roman" w:cs="Times New Roman"/>
        </w:rPr>
        <w:t xml:space="preserve"> expedida pelo Serviço de Identificação do Exército Brasileiro, considerando o julgamento da licitação na modalidade de pregão, na forma eletrônica, para REGISTRO DE PREÇOS nº 13/2023, publicada no ...... de ...../...../202....., processo administrativo n.º 65303016296/2023-16, RESOLVE registrar os preços da(s)  empresa(s) indicada(s) e qualificada(s) nesta ATA, de acordo com a classificação por ela(s) alcançada(s) e na(s)  quantidade(s)  cotada(s), atendendo as condições previstas no </w:t>
      </w:r>
      <w:r>
        <w:rPr>
          <w:rFonts w:ascii="Times New Roman" w:hAnsi="Times New Roman" w:cs="Times New Roman"/>
          <w:color w:val="auto"/>
        </w:rPr>
        <w:t>Edital de licitação , sujeitando-</w:t>
      </w:r>
      <w:r>
        <w:rPr>
          <w:rFonts w:ascii="Times New Roman" w:hAnsi="Times New Roman" w:cs="Times New Roman"/>
        </w:rPr>
        <w:t>se as partes às normas constantes na Lei nº 14.133, de 1º de abril de 2021, no Decreto n.º 11.462, de 31 de março de 2023, e em conformidade com as disposições a seguir:</w:t>
      </w:r>
    </w:p>
    <w:p>
      <w:pPr>
        <w:pStyle w:val="28"/>
      </w:pPr>
      <w:r>
        <w:t>DO OBJETO</w:t>
      </w:r>
    </w:p>
    <w:p>
      <w:pPr>
        <w:pStyle w:val="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presente Ata tem por objeto o registro de preços para a eventual aquisição  de instrumentos musicais para a Banda de Música da B Adm Ap/CMO, especificado no item 1.1 do Termo de Referência, Anexo </w:t>
      </w:r>
      <w:r>
        <w:rPr>
          <w:rFonts w:ascii="Times New Roman" w:hAnsi="Times New Roman" w:cs="Times New Roman"/>
          <w:iCs/>
          <w:color w:val="auto"/>
        </w:rPr>
        <w:t>I do edital do Pregão SRP nº 09/2023 - B Adm Ap/CMO,</w:t>
      </w:r>
      <w:r>
        <w:rPr>
          <w:rFonts w:ascii="Times New Roman" w:hAnsi="Times New Roman" w:cs="Times New Roman"/>
          <w:color w:val="auto"/>
        </w:rPr>
        <w:t xml:space="preserve"> q</w:t>
      </w:r>
      <w:r>
        <w:rPr>
          <w:rFonts w:ascii="Times New Roman" w:hAnsi="Times New Roman" w:cs="Times New Roman"/>
        </w:rPr>
        <w:t>ue é parte integrante desta Ata, assim como as propostas cujos preços tenham sido registrados, independentemente de transcrição.</w:t>
      </w:r>
    </w:p>
    <w:p>
      <w:pPr>
        <w:pStyle w:val="2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 PREÇOS, ESPECIFICAÇÕES E QUANTITATIVOS</w:t>
      </w:r>
    </w:p>
    <w:p>
      <w:pPr>
        <w:pStyle w:val="34"/>
      </w:pPr>
      <w:r>
        <w:rPr>
          <w:rFonts w:ascii="Times New Roman" w:hAnsi="Times New Roman" w:cs="Times New Roman"/>
        </w:rPr>
        <w:t>O preço registrado, as especificações do objeto, as quantidades mínimas e máximas de cada item, fornecedor(es) e as demais condições ofertadas na(s) proposta(s) são as que seguem</w:t>
      </w:r>
      <w:r>
        <w:t xml:space="preserve">: </w:t>
      </w:r>
    </w:p>
    <w:tbl>
      <w:tblPr>
        <w:tblStyle w:val="5"/>
        <w:tblW w:w="9392" w:type="dxa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atLeast"/>
        </w:trPr>
        <w:tc>
          <w:tcPr>
            <w:tcW w:w="4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4" w:hRule="atLeast"/>
        </w:trPr>
        <w:tc>
          <w:tcPr>
            <w:tcW w:w="497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4" w:hRule="atLeast"/>
        </w:trPr>
        <w:tc>
          <w:tcPr>
            <w:tcW w:w="497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>
      <w:pPr>
        <w:pStyle w:val="3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 listagem do cadastro de reserva referente ao presente registro de preços consta como anexo a esta Ata.</w:t>
      </w:r>
    </w:p>
    <w:p>
      <w:pPr>
        <w:pStyle w:val="28"/>
      </w:pPr>
      <w:r>
        <w:t>ÓRGÃO(S) GERENCIADOR E  PARTICIPANTE(S)</w:t>
      </w:r>
    </w:p>
    <w:p>
      <w:pPr>
        <w:pStyle w:val="34"/>
        <w:rPr>
          <w:color w:val="auto"/>
        </w:rPr>
      </w:pPr>
      <w:r>
        <w:rPr>
          <w:rFonts w:ascii="Times New Roman" w:hAnsi="Times New Roman" w:cs="Times New Roman"/>
        </w:rPr>
        <w:t xml:space="preserve">O órgão gerenciador será a Base de Administração e Apoio do Comando Militar do Oeste ( B Adm </w:t>
      </w:r>
      <w:r>
        <w:rPr>
          <w:rFonts w:ascii="Times New Roman" w:hAnsi="Times New Roman" w:cs="Times New Roman"/>
          <w:color w:val="auto"/>
        </w:rPr>
        <w:t>Ap/CMO). ( Avenida Duque de Caxias n° 1.628 bairro: Amambai, Campo Grande –MS Cep: 79100-400).</w:t>
      </w:r>
    </w:p>
    <w:p>
      <w:pPr>
        <w:pStyle w:val="36"/>
        <w:rPr>
          <w:color w:val="auto"/>
        </w:rPr>
      </w:pPr>
      <w:r>
        <w:rPr>
          <w:color w:val="auto"/>
        </w:rPr>
        <w:t>Além do gerenciador, há  órgão  participante do registro de preços: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4"/>
        <w:gridCol w:w="2244"/>
        <w:gridCol w:w="2245"/>
        <w:gridCol w:w="2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4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Órgão Participante</w:t>
            </w:r>
          </w:p>
        </w:tc>
        <w:tc>
          <w:tcPr>
            <w:tcW w:w="2245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Quantidade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4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hint="default" w:ascii="Arial" w:hAnsi="Arial" w:cs="Arial"/>
                <w:i/>
                <w:iCs/>
                <w:color w:val="auto"/>
                <w:sz w:val="20"/>
                <w:szCs w:val="20"/>
                <w:highlight w:val="none"/>
                <w:lang w:val="pt-BR"/>
              </w:rPr>
            </w:pPr>
            <w:r>
              <w:rPr>
                <w:rFonts w:hint="default" w:ascii="Arial" w:hAnsi="Arial" w:cs="Arial"/>
                <w:i/>
                <w:iCs/>
                <w:color w:val="auto"/>
                <w:sz w:val="20"/>
                <w:szCs w:val="20"/>
                <w:highlight w:val="none"/>
                <w:lang w:val="pt-BR"/>
              </w:rPr>
              <w:t>18</w:t>
            </w:r>
          </w:p>
        </w:tc>
        <w:tc>
          <w:tcPr>
            <w:tcW w:w="2244" w:type="dxa"/>
            <w:vMerge w:val="restart"/>
            <w:vAlign w:val="center"/>
          </w:tcPr>
          <w:p>
            <w:pPr>
              <w:pStyle w:val="3"/>
              <w:shd w:val="clear" w:color="auto" w:fill="FFFFFF"/>
              <w:spacing w:beforeAutospacing="0" w:afterAutospacing="0" w:line="15" w:lineRule="atLeast"/>
              <w:rPr>
                <w:rFonts w:hint="default" w:ascii="Times New Roman" w:hAnsi="Times New Roman" w:eastAsia="Arial"/>
                <w:b w:val="0"/>
                <w:bCs w:val="0"/>
                <w:i w:val="0"/>
                <w:color w:val="auto"/>
                <w:sz w:val="20"/>
                <w:szCs w:val="20"/>
                <w:lang w:val="pt-BR"/>
              </w:rPr>
            </w:pPr>
            <w:r>
              <w:rPr>
                <w:rFonts w:hint="default" w:ascii="Times New Roman" w:hAnsi="Times New Roman" w:eastAsia="Arial"/>
                <w:b w:val="0"/>
                <w:bCs w:val="0"/>
                <w:i w:val="0"/>
                <w:color w:val="auto"/>
                <w:sz w:val="20"/>
                <w:szCs w:val="20"/>
                <w:shd w:val="clear" w:color="auto" w:fill="FFFFFF"/>
                <w:lang w:val="pt-BR"/>
              </w:rPr>
              <w:t xml:space="preserve">Colégio Militar do Recife , </w:t>
            </w:r>
            <w:r>
              <w:rPr>
                <w:rFonts w:hint="default" w:ascii="Times New Roman" w:hAnsi="Times New Roman"/>
                <w:b w:val="0"/>
                <w:bCs w:val="0"/>
                <w:i w:val="0"/>
                <w:color w:val="auto"/>
                <w:sz w:val="20"/>
                <w:szCs w:val="20"/>
                <w:shd w:val="clear" w:color="auto" w:fill="FFFFFF"/>
                <w:lang w:val="pt-BR"/>
              </w:rPr>
              <w:t>Av. Visc. de São Leopoldo, 198 - Cidade Universitária, Recife - PE, CEP 50730-120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</w:p>
        </w:tc>
        <w:tc>
          <w:tcPr>
            <w:tcW w:w="2245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Und</w:t>
            </w:r>
          </w:p>
        </w:tc>
        <w:tc>
          <w:tcPr>
            <w:tcW w:w="2245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4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Arial" w:hAnsi="Arial" w:cs="Arial"/>
                <w:i/>
                <w:iCs/>
                <w:color w:val="auto"/>
                <w:sz w:val="20"/>
                <w:szCs w:val="20"/>
                <w:highlight w:val="none"/>
                <w:lang w:val="pt-BR"/>
              </w:rPr>
              <w:t>1</w:t>
            </w: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none"/>
              </w:rPr>
              <w:t>9</w:t>
            </w:r>
          </w:p>
        </w:tc>
        <w:tc>
          <w:tcPr>
            <w:tcW w:w="2244" w:type="dxa"/>
            <w:vMerge w:val="continue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</w:p>
        </w:tc>
        <w:tc>
          <w:tcPr>
            <w:tcW w:w="2245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Und</w:t>
            </w:r>
          </w:p>
        </w:tc>
        <w:tc>
          <w:tcPr>
            <w:tcW w:w="2245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4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Arial" w:hAnsi="Arial" w:cs="Arial"/>
                <w:i/>
                <w:iCs/>
                <w:color w:val="auto"/>
                <w:sz w:val="20"/>
                <w:szCs w:val="20"/>
                <w:highlight w:val="none"/>
                <w:lang w:val="pt-BR"/>
              </w:rPr>
              <w:t>2</w:t>
            </w: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none"/>
              </w:rPr>
              <w:t>0</w:t>
            </w:r>
          </w:p>
        </w:tc>
        <w:tc>
          <w:tcPr>
            <w:tcW w:w="2244" w:type="dxa"/>
            <w:vMerge w:val="continue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</w:p>
        </w:tc>
        <w:tc>
          <w:tcPr>
            <w:tcW w:w="2245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Und</w:t>
            </w:r>
          </w:p>
        </w:tc>
        <w:tc>
          <w:tcPr>
            <w:tcW w:w="2245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4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Arial" w:hAnsi="Arial" w:cs="Arial"/>
                <w:i/>
                <w:iCs/>
                <w:color w:val="auto"/>
                <w:sz w:val="20"/>
                <w:szCs w:val="20"/>
                <w:highlight w:val="none"/>
                <w:lang w:val="pt-BR"/>
              </w:rPr>
              <w:t>2</w:t>
            </w: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244" w:type="dxa"/>
            <w:vMerge w:val="continue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</w:p>
        </w:tc>
        <w:tc>
          <w:tcPr>
            <w:tcW w:w="2245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Und</w:t>
            </w:r>
          </w:p>
        </w:tc>
        <w:tc>
          <w:tcPr>
            <w:tcW w:w="2245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4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hint="default" w:ascii="Arial" w:hAnsi="Arial" w:cs="Arial"/>
                <w:i/>
                <w:iCs/>
                <w:color w:val="auto"/>
                <w:sz w:val="20"/>
                <w:szCs w:val="20"/>
                <w:highlight w:val="none"/>
                <w:lang w:val="pt-BR"/>
              </w:rPr>
            </w:pPr>
            <w:r>
              <w:rPr>
                <w:rFonts w:hint="default" w:ascii="Arial" w:hAnsi="Arial" w:cs="Arial"/>
                <w:i/>
                <w:iCs/>
                <w:color w:val="auto"/>
                <w:sz w:val="20"/>
                <w:szCs w:val="20"/>
                <w:highlight w:val="none"/>
                <w:lang w:val="pt-BR"/>
              </w:rPr>
              <w:t>22</w:t>
            </w:r>
          </w:p>
        </w:tc>
        <w:tc>
          <w:tcPr>
            <w:tcW w:w="2244" w:type="dxa"/>
            <w:vMerge w:val="continue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</w:p>
        </w:tc>
        <w:tc>
          <w:tcPr>
            <w:tcW w:w="2245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Und</w:t>
            </w:r>
          </w:p>
        </w:tc>
        <w:tc>
          <w:tcPr>
            <w:tcW w:w="2245" w:type="dxa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1</w:t>
            </w:r>
          </w:p>
        </w:tc>
      </w:tr>
    </w:tbl>
    <w:p>
      <w:pPr>
        <w:pStyle w:val="28"/>
        <w:rPr>
          <w:i/>
          <w:color w:val="FF0000"/>
        </w:rPr>
      </w:pPr>
      <w:r>
        <w:t>DA ADESÃO À ATA DE REGISTRO DE PREÇOS</w:t>
      </w:r>
    </w:p>
    <w:p>
      <w:pPr>
        <w:pStyle w:val="36"/>
        <w:rPr>
          <w:i w:val="0"/>
          <w:iCs w:val="0"/>
          <w:strike w:val="0"/>
          <w:dstrike w:val="0"/>
          <w:color w:val="auto"/>
        </w:rPr>
      </w:pPr>
      <w:r>
        <w:rPr>
          <w:rFonts w:hint="default" w:ascii="TimesNewRomanPSMT" w:hAnsi="TimesNewRomanPSMT" w:eastAsia="TimesNewRomanPSMT"/>
          <w:i w:val="0"/>
          <w:iCs w:val="0"/>
          <w:strike w:val="0"/>
          <w:dstrike w:val="0"/>
          <w:color w:val="auto"/>
          <w:sz w:val="24"/>
          <w:szCs w:val="24"/>
        </w:rPr>
        <w:t>Não será admitida a adesão à ata de registro de preços decorrente desta licitação.</w:t>
      </w:r>
    </w:p>
    <w:p>
      <w:pPr>
        <w:pStyle w:val="45"/>
      </w:pPr>
      <w:r>
        <w:t>Vedação a acréscimo de quantitativos</w:t>
      </w:r>
    </w:p>
    <w:p>
      <w:pPr>
        <w:pStyle w:val="34"/>
      </w:pPr>
      <w:r>
        <w:t>É vedado efetuar acréscimos nos quantitativos fixados na ata de registro de preços.</w:t>
      </w:r>
    </w:p>
    <w:p>
      <w:pPr>
        <w:pStyle w:val="28"/>
      </w:pPr>
      <w:r>
        <w:t>VALIDADE, FORMALIZAÇÃO DA ATA DE REGISTRO DE PREÇOS E CADASTRO RESERVA</w:t>
      </w:r>
    </w:p>
    <w:p>
      <w:pPr>
        <w:pStyle w:val="34"/>
        <w:rPr>
          <w:iCs/>
        </w:rPr>
      </w:pPr>
      <w:r>
        <w:t>A validade</w:t>
      </w:r>
      <w:r>
        <w:rPr>
          <w:color w:val="auto"/>
        </w:rPr>
        <w:t xml:space="preserve"> da Ata de Registro de Preços será de 1 (um) ano, contado a partir da data de sua assinatura, podendo ser prorrogada por igual período, mediante a anuência do fornecedor, desde que comprovado o preço vantajoso.</w:t>
      </w:r>
    </w:p>
    <w:p>
      <w:pPr>
        <w:pStyle w:val="42"/>
      </w:pPr>
      <w: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42"/>
      </w:pPr>
      <w:r>
        <w:t>Na formalização do contrato ou do instrumento substituto deverá haver a indicação da disponibilidade dos créditos orçamentários respectivos.</w:t>
      </w:r>
    </w:p>
    <w:p>
      <w:pPr>
        <w:pStyle w:val="34"/>
      </w:pPr>
      <w:r>
        <w:t>A contratação com os fornecedores registrados na ata será formalizada pelo órgão ou pela en</w:t>
      </w:r>
      <w:r>
        <w:rPr>
          <w:rFonts w:eastAsia="Arial"/>
        </w:rPr>
        <w:t>ti</w:t>
      </w:r>
      <w:r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42"/>
      </w:pPr>
      <w:r>
        <w:t xml:space="preserve"> O instrumento contratual de que trata o item 5.2. deverá ser assinado no prazo de validade da ata de registro de preços.</w:t>
      </w:r>
    </w:p>
    <w:p>
      <w:pPr>
        <w:pStyle w:val="34"/>
      </w:pPr>
      <w:r>
        <w:t>Os contratos decorrentes do sistema de registro de preços poderão ser alterados, observado o art. 124 da Lei nº 14.133, de 2021.</w:t>
      </w:r>
    </w:p>
    <w:p>
      <w:pPr>
        <w:pStyle w:val="34"/>
      </w:pPr>
      <w:r>
        <w:t>Após a homologação da licitação ou da contratação direta, deverão ser observadas as seguintes condições para formalização da ata de registro de preços:</w:t>
      </w:r>
    </w:p>
    <w:p>
      <w:pPr>
        <w:pStyle w:val="42"/>
      </w:pPr>
      <w:r>
        <w:t>Serão registrados na ata os preços e os quantita</w:t>
      </w:r>
      <w:r>
        <w:rPr>
          <w:rFonts w:eastAsia="Arial"/>
        </w:rPr>
        <w:t>ti</w:t>
      </w:r>
      <w:r>
        <w:t>vos do adjudicatário, devendo ser observada a po</w:t>
      </w:r>
      <w:r>
        <w:rPr>
          <w:color w:val="auto"/>
        </w:rPr>
        <w:t>ssibilidade de o licitante oferecer ou não proposta em quantitativo inferior ao máximo previsto no edital  e s</w:t>
      </w:r>
      <w:r>
        <w:t>e obrigar nos limites dela;</w:t>
      </w:r>
    </w:p>
    <w:p>
      <w:pPr>
        <w:pStyle w:val="42"/>
      </w:pPr>
      <w:r>
        <w:t>Será incluído na ata, na forma de anexo, o registro dos licitantes ou dos fornecedores que:</w:t>
      </w:r>
    </w:p>
    <w:p>
      <w:pPr>
        <w:pStyle w:val="43"/>
      </w:pPr>
      <w:r>
        <w:t xml:space="preserve">Aceitarem cotar os bens, as obras ou os serviços com preços iguais aos do adjudicatário, observada a classificação da licitação; e </w:t>
      </w:r>
    </w:p>
    <w:p>
      <w:pPr>
        <w:pStyle w:val="43"/>
      </w:pPr>
      <w:r>
        <w:t xml:space="preserve">Mantiverem sua proposta original. </w:t>
      </w:r>
      <w:bookmarkStart w:id="0" w:name="cadastro_reserva"/>
      <w:bookmarkEnd w:id="0"/>
    </w:p>
    <w:p>
      <w:pPr>
        <w:pStyle w:val="42"/>
      </w:pPr>
      <w:r>
        <w:t>Será respeitada, nas contratações, a ordem de classificação dos licitantes ou dos fornecedores registrados na ata.</w:t>
      </w:r>
    </w:p>
    <w:p>
      <w:pPr>
        <w:pStyle w:val="34"/>
      </w:pPr>
      <w:r>
        <w:t>O registro a que se refere o item 5.4.2</w:t>
      </w:r>
      <w:r>
        <w:rPr>
          <w:b/>
          <w:bCs/>
        </w:rPr>
        <w:t xml:space="preserve"> </w:t>
      </w:r>
      <w:r>
        <w:t>tem por obje</w:t>
      </w:r>
      <w:r>
        <w:rPr>
          <w:rFonts w:eastAsia="Arial"/>
        </w:rPr>
        <w:t>ti</w:t>
      </w:r>
      <w:r>
        <w:t>vo a formação de cadastro de reserva para o caso de impossibilidade de atendimento pelo signatário da ata.</w:t>
      </w:r>
    </w:p>
    <w:p>
      <w:pPr>
        <w:pStyle w:val="34"/>
      </w:pPr>
      <w:r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34"/>
      </w:pPr>
      <w:r>
        <w:t xml:space="preserve">A habilitação dos licitantes que comporão o cadastro de reserva a que se refere o item </w:t>
      </w:r>
      <w:r>
        <w:fldChar w:fldCharType="begin"/>
      </w:r>
      <w:r>
        <w:instrText xml:space="preserve"> REF cadastro_reserva \r \h  \* MERGEFORMAT </w:instrText>
      </w:r>
      <w:r>
        <w:fldChar w:fldCharType="separate"/>
      </w:r>
      <w:r>
        <w:t>5.4.2.2</w:t>
      </w:r>
      <w:r>
        <w:fldChar w:fldCharType="end"/>
      </w:r>
      <w:r>
        <w:t xml:space="preserve"> somente será efetuada quando houver necessidade de contratação dos licitantes remanescentes, nas seguintes hipóteses:</w:t>
      </w:r>
      <w:bookmarkStart w:id="1" w:name="habilitacao_reserva"/>
      <w:bookmarkEnd w:id="1"/>
    </w:p>
    <w:p>
      <w:pPr>
        <w:pStyle w:val="42"/>
        <w:rPr>
          <w:color w:val="auto"/>
        </w:rPr>
      </w:pPr>
      <w:r>
        <w:t>Quando</w:t>
      </w:r>
      <w:r>
        <w:rPr>
          <w:color w:val="auto"/>
        </w:rPr>
        <w:t xml:space="preserve"> o licitante vencedor não assinar a ata de registro de preços, no prazo e nas condições estabelecidos </w:t>
      </w:r>
      <w:r>
        <w:rPr>
          <w:i/>
          <w:iCs/>
          <w:color w:val="auto"/>
        </w:rPr>
        <w:t>no edital;</w:t>
      </w:r>
      <w:r>
        <w:rPr>
          <w:color w:val="auto"/>
        </w:rPr>
        <w:t xml:space="preserve"> e</w:t>
      </w:r>
    </w:p>
    <w:p>
      <w:pPr>
        <w:pStyle w:val="42"/>
      </w:pPr>
      <w:r>
        <w:t xml:space="preserve">Quando houver o cancelamento do registro do licitante ou do registro de preços nas hipóteses previstas no item </w:t>
      </w:r>
      <w:r>
        <w:fldChar w:fldCharType="begin"/>
      </w:r>
      <w:r>
        <w:instrText xml:space="preserve"> REF cancelamento \r \h  \* MERGEFORMAT </w:instrText>
      </w:r>
      <w:r>
        <w:fldChar w:fldCharType="separate"/>
      </w:r>
      <w:r>
        <w:t>9</w:t>
      </w:r>
      <w:r>
        <w:fldChar w:fldCharType="end"/>
      </w:r>
      <w:r>
        <w:t>.</w:t>
      </w:r>
    </w:p>
    <w:p>
      <w:pPr>
        <w:pStyle w:val="34"/>
      </w:pPr>
      <w:r>
        <w:t>O preço registrado com indicação dos licitante</w:t>
      </w:r>
      <w:r>
        <w:rPr>
          <w:color w:val="auto"/>
        </w:rPr>
        <w:t>s e fornecedores será divulgado no PNCP e ficará disponibilizado durante a vigência da ata de registro de</w:t>
      </w:r>
      <w:r>
        <w:t xml:space="preserve"> preços.</w:t>
      </w:r>
    </w:p>
    <w:p>
      <w:pPr>
        <w:pStyle w:val="34"/>
      </w:pPr>
      <w: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42"/>
      </w:pPr>
      <w: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34"/>
      </w:pPr>
      <w:r>
        <w:t>A ata de registro de preços será assinada por meio de assinatura digital e disponibilizada no Sistema de Registro de Preços.</w:t>
      </w:r>
    </w:p>
    <w:p>
      <w:pPr>
        <w:pStyle w:val="34"/>
      </w:pPr>
      <w:r>
        <w:t xml:space="preserve">Quando o convocado não assinar a ata de registro de preços no prazo e nas condições estabelecidos no edital ou no aviso de contratação, e observado o disposto no item </w:t>
      </w:r>
      <w:r>
        <w:fldChar w:fldCharType="begin"/>
      </w:r>
      <w:r>
        <w:instrText xml:space="preserve"> REF habilitacao_reserva \r \h  \* MERGEFORMAT </w:instrText>
      </w:r>
      <w:r>
        <w:fldChar w:fldCharType="separate"/>
      </w:r>
      <w:r>
        <w:t>5.7</w:t>
      </w:r>
      <w:r>
        <w:fldChar w:fldCharType="end"/>
      </w:r>
      <w:r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  <w:bookmarkStart w:id="2" w:name="recusa_dos_que_baixaram_preco"/>
      <w:bookmarkEnd w:id="2"/>
    </w:p>
    <w:p>
      <w:pPr>
        <w:pStyle w:val="34"/>
      </w:pPr>
      <w:r>
        <w:t>Na</w:t>
      </w:r>
      <w:r>
        <w:rPr>
          <w:color w:val="auto"/>
        </w:rPr>
        <w:t xml:space="preserve"> hipótese de nenhum dos licitantes que trata o item 5.4.2.1, aceitar a contratação nos termos do item anterior, a Administração, observados o valor es</w:t>
      </w:r>
      <w:r>
        <w:rPr>
          <w:rFonts w:eastAsia="Arial"/>
          <w:color w:val="auto"/>
        </w:rPr>
        <w:t>ti</w:t>
      </w:r>
      <w:r>
        <w:rPr>
          <w:color w:val="auto"/>
        </w:rPr>
        <w:t xml:space="preserve">mado e sua eventual atualização nos termos </w:t>
      </w:r>
      <w:r>
        <w:rPr>
          <w:i/>
          <w:iCs/>
          <w:color w:val="auto"/>
        </w:rPr>
        <w:t>do edital</w:t>
      </w:r>
      <w:r>
        <w:rPr>
          <w:color w:val="auto"/>
        </w:rPr>
        <w:t>, pode</w:t>
      </w:r>
      <w:r>
        <w:t>rá:</w:t>
      </w:r>
    </w:p>
    <w:p>
      <w:pPr>
        <w:pStyle w:val="42"/>
      </w:pPr>
      <w: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42"/>
      </w:pPr>
      <w:r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34"/>
      </w:pPr>
      <w: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28"/>
      </w:pPr>
      <w:r>
        <w:t>ALTERAÇÃO OU ATUALIZAÇÃO DOS PREÇOS REGISTRADOS</w:t>
      </w:r>
    </w:p>
    <w:p>
      <w:pPr>
        <w:pStyle w:val="34"/>
      </w:pPr>
      <w:r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t>cados no mercado ou de fato que eleve o custo dos bens, das obras ou dos serviços registrados, nas seguintes situações:</w:t>
      </w:r>
    </w:p>
    <w:p>
      <w:pPr>
        <w:pStyle w:val="42"/>
      </w:pPr>
      <w:r>
        <w:t>Em caso de força maior, caso fortuito ou fato do príncipe ou em decorrência de fatos imprevisíveis ou previsíveis de consequências incalculáveis, que inviabilizem a execução da ata tal como</w:t>
      </w:r>
      <w:r>
        <w:rPr>
          <w:color w:val="auto"/>
        </w:rPr>
        <w:t xml:space="preserve"> pactuada, nos termos da alínea “d” do inciso II do caput do art. 124 da Lei nº 14.133, de 2021;</w:t>
      </w:r>
    </w:p>
    <w:p>
      <w:pPr>
        <w:pStyle w:val="42"/>
      </w:pPr>
      <w:r>
        <w:t>Em caso de criação, alteração ou ex</w:t>
      </w:r>
      <w:r>
        <w:rPr>
          <w:rFonts w:eastAsia="Calibri"/>
        </w:rPr>
        <w:t>ti</w:t>
      </w:r>
      <w:r>
        <w:t xml:space="preserve">nção de quaisquer tributos ou encargos legais ou a superveniência de disposições legais, com comprovada repercussão sobre os preços registrados; </w:t>
      </w:r>
    </w:p>
    <w:p>
      <w:pPr>
        <w:pStyle w:val="42"/>
      </w:pPr>
      <w:r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43"/>
      </w:pPr>
      <w:r>
        <w:t xml:space="preserve">No caso do reajustamento, deverá ser respeitada a contagem da anualidade e o índice previstos para a contratação;  </w:t>
      </w:r>
    </w:p>
    <w:p>
      <w:pPr>
        <w:pStyle w:val="43"/>
      </w:pPr>
      <w:r>
        <w:t>No caso da repactuação, poderá ser a pedido do interessado, conforme critérios definidos para a contratação.</w:t>
      </w:r>
    </w:p>
    <w:p>
      <w:pPr>
        <w:pStyle w:val="28"/>
      </w:pPr>
      <w:r>
        <w:t>NEGOCIAÇÃO DE PREÇOS REGISTRADOS</w:t>
      </w:r>
    </w:p>
    <w:p>
      <w:pPr>
        <w:pStyle w:val="34"/>
      </w:pPr>
      <w:r>
        <w:t>Na hipótese de o preço registrado tornar-se superior ao preço pra</w:t>
      </w:r>
      <w:r>
        <w:rPr>
          <w:rFonts w:eastAsia="Calibri"/>
        </w:rPr>
        <w:t>ti</w:t>
      </w:r>
      <w:r>
        <w:t>cado no mercado por mo</w:t>
      </w:r>
      <w:r>
        <w:rPr>
          <w:rFonts w:eastAsia="Calibri"/>
        </w:rPr>
        <w:t>ti</w:t>
      </w:r>
      <w:r>
        <w:t>vo superveniente, o órgão ou en</w:t>
      </w:r>
      <w:r>
        <w:rPr>
          <w:rFonts w:eastAsia="Calibri"/>
        </w:rPr>
        <w:t>ti</w:t>
      </w:r>
      <w:r>
        <w:t>dade gerenciadora convocará o fornecedor para negociar a redução do preço registrado.</w:t>
      </w:r>
    </w:p>
    <w:p>
      <w:pPr>
        <w:pStyle w:val="42"/>
        <w:rPr>
          <w:color w:val="auto"/>
        </w:rPr>
      </w:pPr>
      <w:r>
        <w:t>Caso não aceite reduzir seu preço aos valores pra</w:t>
      </w:r>
      <w:r>
        <w:rPr>
          <w:rFonts w:eastAsia="Calibri"/>
        </w:rPr>
        <w:t>ti</w:t>
      </w:r>
      <w:r>
        <w:t>cados pelo mercado, o fornecedor será liberado do compromisso assumido quanto ao item registrado, sem aplicação de penalidades adm</w:t>
      </w:r>
      <w:r>
        <w:rPr>
          <w:color w:val="auto"/>
        </w:rPr>
        <w:t>inistrativas.</w:t>
      </w:r>
    </w:p>
    <w:p>
      <w:pPr>
        <w:pStyle w:val="42"/>
        <w:rPr>
          <w:color w:val="auto"/>
        </w:rPr>
      </w:pPr>
      <w:r>
        <w:rPr>
          <w:color w:val="auto"/>
        </w:rPr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42"/>
      </w:pPr>
      <w:r>
        <w:t>Se não obtiver êxito nas negociações, o órgão ou en</w:t>
      </w:r>
      <w:r>
        <w:rPr>
          <w:rFonts w:eastAsia="Calibri"/>
        </w:rPr>
        <w:t>tid</w:t>
      </w:r>
      <w:r>
        <w:t>ade gerenciadora procederá ao cancelamento da ata de registro de preços, adotando as medidas cabíveis para obtenção de contratação mais vantajosa.</w:t>
      </w:r>
      <w:bookmarkStart w:id="3" w:name="reducao_preco_mercado_negociacao_frustra"/>
      <w:bookmarkEnd w:id="3"/>
    </w:p>
    <w:p>
      <w:pPr>
        <w:pStyle w:val="42"/>
      </w:pPr>
      <w:r>
        <w:rPr>
          <w:rFonts w:ascii="Calibri" w:hAnsi="Calibri" w:cs="Calibri"/>
        </w:rPr>
        <w:t>Na hipótese de</w:t>
      </w:r>
      <w:r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t xml:space="preserve">dades que </w:t>
      </w:r>
      <w:r>
        <w:rPr>
          <w:rFonts w:eastAsia="Calibri"/>
        </w:rPr>
        <w:t>ti</w:t>
      </w:r>
      <w: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34"/>
      </w:pPr>
      <w: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4" w:name="hipotese_preco_mercado_maior"/>
      <w:bookmarkEnd w:id="4"/>
    </w:p>
    <w:p>
      <w:pPr>
        <w:pStyle w:val="42"/>
      </w:pPr>
      <w: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5" w:name="prova_preco_mercado_maior"/>
      <w:bookmarkEnd w:id="5"/>
    </w:p>
    <w:p>
      <w:pPr>
        <w:pStyle w:val="42"/>
      </w:pPr>
      <w:r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t xml:space="preserve">dade gerenciadora e o fornecedor deverá cumprir as obrigações estabelecidas na ata, sob pena de cancelamento do seu registro, nos termos do item </w:t>
      </w:r>
      <w:r>
        <w:fldChar w:fldCharType="begin"/>
      </w:r>
      <w:r>
        <w:instrText xml:space="preserve"> REF cancelamento_do_fornecedor \r \h  \* MERGEFORMAT </w:instrText>
      </w:r>
      <w:r>
        <w:fldChar w:fldCharType="separate"/>
      </w:r>
      <w:r>
        <w:t>9.1</w:t>
      </w:r>
      <w:r>
        <w:fldChar w:fldCharType="end"/>
      </w:r>
      <w:r>
        <w:t>, sem prejuízo das sanções previstas na Lei nº 14.133, de 2021, e na legislação aplicável.</w:t>
      </w:r>
      <w:bookmarkStart w:id="6" w:name="nao_comprovacao_majoracao_mercado"/>
      <w:bookmarkEnd w:id="6"/>
    </w:p>
    <w:p>
      <w:pPr>
        <w:pStyle w:val="42"/>
      </w:pPr>
      <w: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42"/>
      </w:pPr>
      <w:r>
        <w:t xml:space="preserve">Se não obtiver êxito nas negociações, o órgão ou entidade gerenciadora procederá ao cancelamento da ata de registro de preços, nos termos do item </w:t>
      </w:r>
      <w:r>
        <w:fldChar w:fldCharType="begin"/>
      </w:r>
      <w:r>
        <w:instrText xml:space="preserve"> REF cancelamento_da_ata \r \h  \* MERGEFORMAT </w:instrText>
      </w:r>
      <w:r>
        <w:fldChar w:fldCharType="separate"/>
      </w:r>
      <w:r>
        <w:t>9.4</w:t>
      </w:r>
      <w:r>
        <w:fldChar w:fldCharType="end"/>
      </w:r>
      <w:r>
        <w:t>, e adotará as medidas cabíveis para a obtenção da contratação mais vantajosa.</w:t>
      </w:r>
      <w:bookmarkStart w:id="7" w:name="majora_preco_mercado_negociacao_frustra"/>
      <w:bookmarkEnd w:id="7"/>
    </w:p>
    <w:p>
      <w:pPr>
        <w:pStyle w:val="42"/>
      </w:pPr>
      <w:r>
        <w:t xml:space="preserve">Na hipótese de comprovação da majoração do preço de mercado que inviabilize o preço registrado, conforme previsto no item </w:t>
      </w:r>
      <w:r>
        <w:fldChar w:fldCharType="begin"/>
      </w:r>
      <w:r>
        <w:instrText xml:space="preserve"> REF hipotese_preco_mercado_maior \r \h  \* MERGEFORMAT </w:instrText>
      </w:r>
      <w:r>
        <w:fldChar w:fldCharType="separate"/>
      </w:r>
      <w:r>
        <w:t>7.2</w:t>
      </w:r>
      <w:r>
        <w:fldChar w:fldCharType="end"/>
      </w:r>
      <w:r>
        <w:t xml:space="preserve"> e no item </w:t>
      </w:r>
      <w:r>
        <w:fldChar w:fldCharType="begin"/>
      </w:r>
      <w:r>
        <w:instrText xml:space="preserve"> REF prova_preco_mercado_maior \r \h  \* MERGEFORMAT </w:instrText>
      </w:r>
      <w:r>
        <w:fldChar w:fldCharType="separate"/>
      </w:r>
      <w:r>
        <w:t>7.2.1</w:t>
      </w:r>
      <w:r>
        <w:fldChar w:fldCharType="end"/>
      </w:r>
      <w:r>
        <w:t>, o órgão ou en</w:t>
      </w:r>
      <w:r>
        <w:rPr>
          <w:rFonts w:eastAsia="Calibri"/>
        </w:rPr>
        <w:t>ti</w:t>
      </w:r>
      <w:r>
        <w:t>dade gerenciadora atualizará o preço registrado, de acordo com a realidade dos valores praticados pelo mercado.</w:t>
      </w:r>
    </w:p>
    <w:p>
      <w:pPr>
        <w:pStyle w:val="42"/>
      </w:pPr>
      <w:r>
        <w:t xml:space="preserve"> O órgão ou en</w:t>
      </w:r>
      <w:r>
        <w:rPr>
          <w:rFonts w:eastAsia="Calibri"/>
        </w:rPr>
        <w:t>ti</w:t>
      </w:r>
      <w:r>
        <w:t>dade gerenciadora comunicará aos órgãos e às en</w:t>
      </w:r>
      <w:r>
        <w:rPr>
          <w:rFonts w:eastAsia="Calibri"/>
        </w:rPr>
        <w:t>ti</w:t>
      </w:r>
      <w:r>
        <w:t xml:space="preserve">dades que </w:t>
      </w:r>
      <w:r>
        <w:rPr>
          <w:rFonts w:eastAsia="Calibri"/>
        </w:rPr>
        <w:t>ti</w:t>
      </w:r>
      <w:r>
        <w:t>verem firmado contratos decorrentes da ata de registro de preços sobre a efe</w:t>
      </w:r>
      <w:r>
        <w:rPr>
          <w:rFonts w:eastAsia="Calibri"/>
        </w:rPr>
        <w:t>ti</w:t>
      </w:r>
      <w:r>
        <w:t>va alteração do preço registrado, para que avaliem a necessidade de alteração contratual, observado o disposto no art. 124 da Lei nº 14.133, de 2021.</w:t>
      </w:r>
    </w:p>
    <w:p>
      <w:pPr>
        <w:pStyle w:val="28"/>
      </w:pPr>
      <w:r>
        <w:t>REMANEJAMENTO DAS QUANTIDADES REGISTRADAS NA ATA DE REGISTRO DE PREÇOS</w:t>
      </w:r>
    </w:p>
    <w:p>
      <w:pPr>
        <w:pStyle w:val="34"/>
      </w:pPr>
      <w:r>
        <w:t xml:space="preserve"> As quan</w:t>
      </w:r>
      <w:r>
        <w:rPr>
          <w:rFonts w:eastAsia="Arial"/>
        </w:rPr>
        <w:t>ti</w:t>
      </w:r>
      <w:r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t>dade gerenciadora entre os órgãos ou as en</w:t>
      </w:r>
      <w:r>
        <w:rPr>
          <w:rFonts w:eastAsia="Arial"/>
        </w:rPr>
        <w:t>ti</w:t>
      </w:r>
      <w:r>
        <w:t>dades par</w:t>
      </w:r>
      <w:r>
        <w:rPr>
          <w:rFonts w:eastAsia="Arial"/>
        </w:rPr>
        <w:t>ti</w:t>
      </w:r>
      <w:r>
        <w:t>cipantes e não par</w:t>
      </w:r>
      <w:r>
        <w:rPr>
          <w:rFonts w:eastAsia="Arial"/>
        </w:rPr>
        <w:t>ti</w:t>
      </w:r>
      <w:r>
        <w:t>cipantes do registro de preços.</w:t>
      </w:r>
    </w:p>
    <w:p>
      <w:pPr>
        <w:pStyle w:val="34"/>
      </w:pPr>
      <w:r>
        <w:t xml:space="preserve"> O remanejamento somente poderá ser feito:</w:t>
      </w:r>
    </w:p>
    <w:p>
      <w:pPr>
        <w:pStyle w:val="42"/>
      </w:pPr>
      <w:r>
        <w:t>De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 para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cipante; ou</w:t>
      </w:r>
    </w:p>
    <w:p>
      <w:pPr>
        <w:pStyle w:val="42"/>
      </w:pPr>
      <w:r>
        <w:t>De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 para órgão ou entidade não participante.</w:t>
      </w:r>
    </w:p>
    <w:p>
      <w:pPr>
        <w:pStyle w:val="34"/>
      </w:pPr>
      <w:r>
        <w:t>O órgão ou en</w:t>
      </w:r>
      <w:r>
        <w:rPr>
          <w:rFonts w:eastAsia="Arial"/>
        </w:rPr>
        <w:t>ti</w:t>
      </w:r>
      <w:r>
        <w:t>dade gerenciadora que tiver es</w:t>
      </w:r>
      <w:r>
        <w:rPr>
          <w:rFonts w:eastAsia="Arial"/>
        </w:rPr>
        <w:t>ti</w:t>
      </w:r>
      <w:r>
        <w:t>mado as quan</w:t>
      </w:r>
      <w:r>
        <w:rPr>
          <w:rFonts w:eastAsia="Arial"/>
        </w:rPr>
        <w:t>ti</w:t>
      </w:r>
      <w:r>
        <w:t>dades que pretende contratar será considerado participante para efeito do remanejamento.</w:t>
      </w:r>
      <w:bookmarkStart w:id="8" w:name="gerenciador_estimador_é_partic_em_remane"/>
      <w:bookmarkEnd w:id="8"/>
    </w:p>
    <w:p>
      <w:pPr>
        <w:pStyle w:val="34"/>
      </w:pPr>
      <w:r>
        <w:t>Na hipótese de remanejamento de órgão ou entidade par</w:t>
      </w:r>
      <w:r>
        <w:rPr>
          <w:rFonts w:eastAsia="Arial"/>
        </w:rPr>
        <w:t>ti</w:t>
      </w:r>
      <w:r>
        <w:t>cipante para órgão ou entidade não participante, serão observados os limites previstos no art. 32 do Decreto nº 11.462, de 2023.</w:t>
      </w:r>
    </w:p>
    <w:p>
      <w:pPr>
        <w:pStyle w:val="34"/>
      </w:pPr>
      <w:r>
        <w:t>Competirá ao órgão ou à en</w:t>
      </w:r>
      <w:r>
        <w:rPr>
          <w:rFonts w:eastAsia="Arial"/>
        </w:rPr>
        <w:t>ti</w:t>
      </w:r>
      <w:r>
        <w:t>dade gerenciadora autorizar o remanejamento solicitado, com a redução do quan</w:t>
      </w:r>
      <w:r>
        <w:rPr>
          <w:rFonts w:eastAsia="Arial"/>
        </w:rPr>
        <w:t>ti</w:t>
      </w:r>
      <w:r>
        <w:t>ta</w:t>
      </w:r>
      <w:r>
        <w:rPr>
          <w:rFonts w:eastAsia="Arial"/>
        </w:rPr>
        <w:t>ti</w:t>
      </w:r>
      <w:r>
        <w:t>vo inicialmente informado pelo órgão ou pela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cipante, desde que haja prévia anuência do órgão ou da en</w:t>
      </w:r>
      <w:r>
        <w:rPr>
          <w:rFonts w:eastAsia="Arial"/>
        </w:rPr>
        <w:t>ti</w:t>
      </w:r>
      <w:r>
        <w:t>dade que sofrer redução dos quantitativos informados.</w:t>
      </w:r>
    </w:p>
    <w:p>
      <w:pPr>
        <w:pStyle w:val="34"/>
      </w:pPr>
      <w:r>
        <w:t>Caso o remanejamento seja feito entre órgãos ou en</w:t>
      </w:r>
      <w:r>
        <w:rPr>
          <w:rFonts w:eastAsia="Arial"/>
        </w:rPr>
        <w:t>ti</w:t>
      </w:r>
      <w:r>
        <w:t>dades dos Estados, do Distrito Federal ou de Municípios dis</w:t>
      </w:r>
      <w:r>
        <w:rPr>
          <w:rFonts w:eastAsia="Arial"/>
        </w:rPr>
        <w:t>ti</w:t>
      </w:r>
      <w:r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34"/>
      </w:pPr>
      <w:r>
        <w:t>Na hipótese da compra centralizada, não havendo indicação pelo órgão ou pela en</w:t>
      </w:r>
      <w:r>
        <w:rPr>
          <w:rFonts w:eastAsia="Arial"/>
        </w:rPr>
        <w:t>ti</w:t>
      </w:r>
      <w:r>
        <w:t>dade gerenciadora, dos quan</w:t>
      </w:r>
      <w:r>
        <w:rPr>
          <w:rFonts w:eastAsia="Arial"/>
        </w:rPr>
        <w:t>ti</w:t>
      </w:r>
      <w:r>
        <w:t>ta</w:t>
      </w:r>
      <w:r>
        <w:rPr>
          <w:rFonts w:eastAsia="Arial"/>
        </w:rPr>
        <w:t>ti</w:t>
      </w:r>
      <w:r>
        <w:t>vos dos par</w:t>
      </w:r>
      <w:r>
        <w:rPr>
          <w:rFonts w:eastAsia="Arial"/>
        </w:rPr>
        <w:t>ti</w:t>
      </w:r>
      <w:r>
        <w:t xml:space="preserve">cipantes da compra centralizada, nos termos do item </w:t>
      </w:r>
      <w:r>
        <w:fldChar w:fldCharType="begin"/>
      </w:r>
      <w:r>
        <w:instrText xml:space="preserve"> REF gerenciador_estimador_é_partic_em_remane \r \h  \* MERGEFORMAT </w:instrText>
      </w:r>
      <w:r>
        <w:fldChar w:fldCharType="separate"/>
      </w:r>
      <w:r>
        <w:t>8.3</w:t>
      </w:r>
      <w:r>
        <w:fldChar w:fldCharType="end"/>
      </w:r>
      <w:r>
        <w:t>, a distribuição das quantidades para a execução descentralizada será por meio do remanejamento.</w:t>
      </w:r>
    </w:p>
    <w:p>
      <w:pPr>
        <w:pStyle w:val="28"/>
        <w:rPr>
          <w:iCs/>
        </w:rPr>
      </w:pPr>
      <w:r>
        <w:t>CANCELAMENTO DO REGISTRO DO LICITANTE VENCEDOR E DOS PREÇOS REGISTRADOS</w:t>
      </w:r>
      <w:bookmarkStart w:id="9" w:name="cancelamento"/>
      <w:bookmarkEnd w:id="9"/>
    </w:p>
    <w:p>
      <w:pPr>
        <w:pStyle w:val="34"/>
      </w:pPr>
      <w:r>
        <w:t>O registro do fornecedor será cancelado pelo gerenciador, quando o fornecedor:</w:t>
      </w:r>
      <w:bookmarkStart w:id="10" w:name="cancelamento_do_fornecedor"/>
      <w:bookmarkEnd w:id="10"/>
    </w:p>
    <w:p>
      <w:pPr>
        <w:pStyle w:val="42"/>
      </w:pPr>
      <w:r>
        <w:t>Descumprir as condições da ata de registro de preços, sem motivo justificado;</w:t>
      </w:r>
    </w:p>
    <w:p>
      <w:pPr>
        <w:pStyle w:val="42"/>
      </w:pPr>
      <w:r>
        <w:t>Não re</w:t>
      </w:r>
      <w:r>
        <w:rPr>
          <w:rFonts w:eastAsia="Arial"/>
        </w:rPr>
        <w:t>ti</w:t>
      </w:r>
      <w:r>
        <w:t>rar a nota de empenho, ou instrumento equivalente, no prazo estabelecido pela Administração sem justificativa razoável;</w:t>
      </w:r>
    </w:p>
    <w:p>
      <w:pPr>
        <w:pStyle w:val="42"/>
      </w:pPr>
      <w:r>
        <w:t>Não aceitar manter seu preço registrado, na hipótese prevista no artigo 27, § 2º, do Decreto nº 11.462, de 2023; ou</w:t>
      </w:r>
    </w:p>
    <w:p>
      <w:pPr>
        <w:pStyle w:val="42"/>
      </w:pPr>
      <w:r>
        <w:t xml:space="preserve"> Sofrer sanção prevista nos incisos III ou IV do caput do art. 156 da Lei nº 14.133, de 2021.</w:t>
      </w:r>
    </w:p>
    <w:p>
      <w:pPr>
        <w:pStyle w:val="43"/>
      </w:pPr>
      <w: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34"/>
      </w:pPr>
      <w:r>
        <w:t xml:space="preserve"> O cancelamento de registros nas hipóteses previstas no item </w:t>
      </w:r>
      <w:r>
        <w:fldChar w:fldCharType="begin"/>
      </w:r>
      <w:r>
        <w:instrText xml:space="preserve"> REF cancelamento_do_fornecedor \r \h  \* MERGEFORMAT </w:instrText>
      </w:r>
      <w:r>
        <w:fldChar w:fldCharType="separate"/>
      </w:r>
      <w:r>
        <w:t>9.1</w:t>
      </w:r>
      <w:r>
        <w:fldChar w:fldCharType="end"/>
      </w:r>
      <w:r>
        <w:t xml:space="preserve"> será formalizado por despacho do órgão ou da entidade gerenciadora, garantidos os princípios do contraditório e da ampla defesa.</w:t>
      </w:r>
    </w:p>
    <w:p>
      <w:pPr>
        <w:pStyle w:val="34"/>
      </w:pPr>
      <w:r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34"/>
      </w:pPr>
      <w: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11" w:name="cancelamento_da_ata"/>
      <w:bookmarkEnd w:id="11"/>
      <w:r>
        <w:t xml:space="preserve"> </w:t>
      </w:r>
    </w:p>
    <w:p>
      <w:pPr>
        <w:pStyle w:val="42"/>
      </w:pPr>
      <w:r>
        <w:t>Por razão de interesse público;</w:t>
      </w:r>
    </w:p>
    <w:p>
      <w:pPr>
        <w:pStyle w:val="42"/>
      </w:pPr>
      <w:r>
        <w:t>A pedido do fornecedor, decorrente de caso fortuito ou força maior; ou</w:t>
      </w:r>
    </w:p>
    <w:p>
      <w:pPr>
        <w:pStyle w:val="42"/>
      </w:pPr>
      <w:r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28"/>
      </w:pPr>
      <w:r>
        <w:t>DAS PENALIDADES</w:t>
      </w:r>
    </w:p>
    <w:p>
      <w:pPr>
        <w:pStyle w:val="34"/>
      </w:pPr>
      <w:r>
        <w:t>O d</w:t>
      </w:r>
      <w:r>
        <w:rPr>
          <w:color w:val="auto"/>
        </w:rPr>
        <w:t xml:space="preserve">escumprimento da Ata de Registro de Preços ensejará aplicação das penalidades estabelecidas </w:t>
      </w:r>
      <w:r>
        <w:rPr>
          <w:i/>
          <w:color w:val="auto"/>
        </w:rPr>
        <w:t>no edital</w:t>
      </w:r>
      <w:r>
        <w:rPr>
          <w:color w:val="auto"/>
        </w:rPr>
        <w:t>.</w:t>
      </w:r>
    </w:p>
    <w:p>
      <w:pPr>
        <w:pStyle w:val="42"/>
      </w:pPr>
      <w:r>
        <w:t>As sanções também se aplicam aos inte</w:t>
      </w:r>
      <w:r>
        <w:rPr>
          <w:color w:val="auto"/>
        </w:rPr>
        <w:t>grantes do cadastro de reserva no registro de preços que, convocados, não honrarem o compromisso assumido injustificadamente a</w:t>
      </w:r>
      <w:r>
        <w:t xml:space="preserve">pós terem assinado a ata. </w:t>
      </w:r>
    </w:p>
    <w:p>
      <w:pPr>
        <w:pStyle w:val="34"/>
      </w:pPr>
      <w:r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34"/>
      </w:pPr>
      <w:r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28"/>
      </w:pPr>
      <w:r>
        <w:t>CONDIÇÕES GERAIS</w:t>
      </w:r>
    </w:p>
    <w:p>
      <w:pPr>
        <w:pStyle w:val="34"/>
        <w:rPr>
          <w:color w:val="auto"/>
        </w:rPr>
      </w:pPr>
      <w:r>
        <w:t xml:space="preserve">As condições gerais de execução do objeto, tais como os prazos para entrega e recebimento, as obrigações da Administração e do fornecedor registrado, penalidades e demais condições do </w:t>
      </w:r>
      <w:r>
        <w:rPr>
          <w:color w:val="auto"/>
        </w:rPr>
        <w:t>ajuste, encontram-se definidos no Termo de Referên</w:t>
      </w:r>
      <w:r>
        <w:rPr>
          <w:color w:val="auto"/>
        </w:rPr>
        <w:t xml:space="preserve">cia, ANEXO </w:t>
      </w:r>
      <w:r>
        <w:rPr>
          <w:i/>
          <w:color w:val="auto"/>
        </w:rPr>
        <w:t>AO EDITAL.</w:t>
      </w:r>
    </w:p>
    <w:p>
      <w:pPr>
        <w:pStyle w:val="36"/>
        <w:rPr>
          <w:strike/>
          <w:color w:val="auto"/>
        </w:rPr>
      </w:pPr>
      <w:r>
        <w:rPr>
          <w:strike/>
          <w:color w:val="auto"/>
        </w:rPr>
        <w:t>No caso de adjudicação por preço global de grupo de itens, só será admitida a contratação de parte de itens do grupo se houver prévia pesquisa de mercado e demonstração de sua vantagem para o órgão ou a entidade.</w:t>
      </w:r>
    </w:p>
    <w:p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Para firmeza e validade do pactuado, a presente Ata foi lavrada em 2 (duas) vias de igual teor, que, depois de lida e achada em ordem, vai assinada pelas partes </w:t>
      </w:r>
      <w:r>
        <w:rPr>
          <w:rFonts w:ascii="Arial" w:hAnsi="Arial" w:cs="Arial"/>
          <w:i/>
          <w:iCs/>
          <w:color w:val="auto"/>
          <w:sz w:val="20"/>
          <w:szCs w:val="20"/>
        </w:rPr>
        <w:t xml:space="preserve">e encaminhada cópia aos demais órgãos participantes. </w:t>
      </w:r>
    </w:p>
    <w:p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>
      <w:pPr>
        <w:widowControl w:val="0"/>
        <w:ind w:right="-30"/>
        <w:jc w:val="center"/>
        <w:rPr>
          <w:rFonts w:ascii="Times New Roman" w:hAnsi="Times New Roman" w:cs="Times New Roman"/>
        </w:rPr>
      </w:pPr>
    </w:p>
    <w:p>
      <w:pPr>
        <w:widowControl w:val="0"/>
        <w:ind w:right="-3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Campo Grande-MS, </w:t>
      </w:r>
      <w:r>
        <w:rPr>
          <w:rFonts w:hint="default" w:ascii="Times New Roman" w:hAnsi="Times New Roman" w:cs="Times New Roman"/>
          <w:lang w:val="pt-BR"/>
        </w:rPr>
        <w:t>______</w:t>
      </w:r>
      <w:r>
        <w:rPr>
          <w:rFonts w:ascii="Times New Roman" w:hAnsi="Times New Roman" w:cs="Times New Roman"/>
        </w:rPr>
        <w:t xml:space="preserve"> de </w:t>
      </w:r>
      <w:r>
        <w:rPr>
          <w:rFonts w:hint="default" w:ascii="Times New Roman" w:hAnsi="Times New Roman" w:cs="Times New Roman"/>
          <w:lang w:val="pt-BR"/>
        </w:rPr>
        <w:t>______</w:t>
      </w:r>
      <w:r>
        <w:rPr>
          <w:rFonts w:ascii="Times New Roman" w:hAnsi="Times New Roman" w:cs="Times New Roman"/>
        </w:rPr>
        <w:t>de 2023.</w:t>
      </w: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>
      <w:pPr>
        <w:widowControl w:val="0"/>
        <w:ind w:right="-30"/>
        <w:jc w:val="center"/>
        <w:rPr>
          <w:rFonts w:ascii="Times New Roman" w:hAnsi="Times New Roman" w:cs="Times New Roman"/>
        </w:rPr>
      </w:pPr>
    </w:p>
    <w:p>
      <w:pPr>
        <w:pStyle w:val="10"/>
        <w:jc w:val="center"/>
        <w:rPr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lang w:eastAsia="zh-CN" w:bidi="ar"/>
        </w:rPr>
        <w:t>HUGO SÉRGIO DIAS AMARAL</w:t>
      </w:r>
      <w:r>
        <w:rPr>
          <w:rFonts w:ascii="Times New Roman" w:hAnsi="Times New Roman" w:cs="Times New Roman"/>
          <w:color w:val="000000"/>
          <w:lang w:eastAsia="zh-CN" w:bidi="ar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eastAsia="zh-CN" w:bidi="ar"/>
        </w:rPr>
        <w:t>- Cel R1</w:t>
      </w:r>
    </w:p>
    <w:p>
      <w:pPr>
        <w:pStyle w:val="10"/>
        <w:jc w:val="center"/>
        <w:rPr>
          <w:color w:val="000000"/>
        </w:rPr>
      </w:pPr>
      <w:r>
        <w:rPr>
          <w:rFonts w:ascii="Times New Roman" w:hAnsi="Times New Roman" w:cs="Times New Roman"/>
          <w:color w:val="000000"/>
          <w:lang w:eastAsia="zh-CN" w:bidi="ar"/>
        </w:rPr>
        <w:t>Ordenador de Despesas da Base de Administração e Apoio do Comando Militar do Oeste</w:t>
      </w:r>
    </w:p>
    <w:p>
      <w:pPr>
        <w:pStyle w:val="10"/>
        <w:jc w:val="center"/>
        <w:rPr>
          <w:color w:val="000000"/>
        </w:rPr>
      </w:pPr>
    </w:p>
    <w:p>
      <w:pPr>
        <w:pStyle w:val="10"/>
        <w:jc w:val="center"/>
        <w:rPr>
          <w:color w:val="000000"/>
        </w:rPr>
      </w:pPr>
    </w:p>
    <w:p>
      <w:pPr>
        <w:pStyle w:val="10"/>
        <w:jc w:val="center"/>
        <w:rPr>
          <w:color w:val="000000"/>
        </w:rPr>
      </w:pPr>
    </w:p>
    <w:p>
      <w:pPr>
        <w:pStyle w:val="10"/>
        <w:jc w:val="center"/>
        <w:rPr>
          <w:color w:val="000000"/>
        </w:rPr>
      </w:pPr>
    </w:p>
    <w:p>
      <w:pPr>
        <w:pStyle w:val="10"/>
        <w:jc w:val="center"/>
        <w:rPr>
          <w:color w:val="000000"/>
        </w:rPr>
      </w:pPr>
    </w:p>
    <w:p>
      <w:pPr>
        <w:pStyle w:val="10"/>
        <w:jc w:val="center"/>
        <w:rPr>
          <w:color w:val="000000"/>
        </w:rPr>
      </w:pPr>
    </w:p>
    <w:p>
      <w:pPr>
        <w:pStyle w:val="10"/>
        <w:jc w:val="center"/>
        <w:rPr>
          <w:color w:val="000000"/>
        </w:rPr>
      </w:pPr>
    </w:p>
    <w:p>
      <w:pPr>
        <w:pStyle w:val="10"/>
        <w:jc w:val="center"/>
        <w:rPr>
          <w:color w:val="000000"/>
        </w:rPr>
      </w:pPr>
    </w:p>
    <w:p>
      <w:pPr>
        <w:pStyle w:val="10"/>
        <w:jc w:val="center"/>
        <w:rPr>
          <w:rFonts w:hint="default"/>
          <w:color w:val="000000"/>
          <w:lang w:val="pt-BR"/>
        </w:rPr>
      </w:pPr>
      <w:r>
        <w:rPr>
          <w:rFonts w:hint="default"/>
          <w:color w:val="000000"/>
          <w:lang w:val="pt-BR"/>
        </w:rPr>
        <w:t>__________________________________________________</w:t>
      </w: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Representante</w:t>
      </w:r>
      <w:r>
        <w:rPr>
          <w:rFonts w:hint="default" w:ascii="Arial" w:hAnsi="Arial" w:cs="Arial"/>
          <w:sz w:val="20"/>
          <w:szCs w:val="20"/>
          <w:lang w:val="pt-BR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legal</w:t>
      </w:r>
      <w:r>
        <w:rPr>
          <w:rFonts w:hint="default" w:ascii="Arial" w:hAnsi="Arial" w:cs="Arial"/>
          <w:sz w:val="20"/>
          <w:szCs w:val="20"/>
          <w:lang w:val="pt-BR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do </w:t>
      </w:r>
      <w:r>
        <w:rPr>
          <w:rFonts w:ascii="Arial" w:hAnsi="Arial" w:cs="Arial"/>
          <w:color w:val="000000"/>
          <w:sz w:val="20"/>
          <w:szCs w:val="20"/>
        </w:rPr>
        <w:t>fornecedor registrado</w:t>
      </w: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bookmarkStart w:id="12" w:name="_GoBack"/>
      <w:bookmarkEnd w:id="12"/>
      <w:r>
        <w:rPr>
          <w:rFonts w:ascii="Arial" w:hAnsi="Arial" w:cs="Arial"/>
          <w:color w:val="000000"/>
          <w:sz w:val="20"/>
          <w:szCs w:val="20"/>
        </w:rPr>
        <w:t>Anexo</w:t>
      </w: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5"/>
        <w:tblW w:w="9392" w:type="dxa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atLeast"/>
        </w:trPr>
        <w:tc>
          <w:tcPr>
            <w:tcW w:w="4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4" w:hRule="atLeast"/>
        </w:trPr>
        <w:tc>
          <w:tcPr>
            <w:tcW w:w="497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4" w:hRule="atLeast"/>
        </w:trPr>
        <w:tc>
          <w:tcPr>
            <w:tcW w:w="497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5"/>
        <w:tblW w:w="9392" w:type="dxa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atLeast"/>
        </w:trPr>
        <w:tc>
          <w:tcPr>
            <w:tcW w:w="6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4" w:hRule="atLeast"/>
        </w:trPr>
        <w:tc>
          <w:tcPr>
            <w:tcW w:w="696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4" w:hRule="atLeast"/>
        </w:trPr>
        <w:tc>
          <w:tcPr>
            <w:tcW w:w="696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>
      <w:footerReference r:id="rId3" w:type="default"/>
      <w:pgSz w:w="11906" w:h="16838"/>
      <w:pgMar w:top="1418" w:right="1134" w:bottom="1418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>
    <w:pPr>
      <w:pStyle w:val="13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>
    <w:pPr>
      <w:pStyle w:val="13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Atualização: maio/2023</w:t>
    </w:r>
  </w:p>
  <w:p>
    <w:pPr>
      <w:pStyle w:val="13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Ata de Registro de Preços –  Lei nº 14.133, de 2021.</w:t>
    </w:r>
  </w:p>
  <w:p>
    <w:pPr>
      <w:pStyle w:val="13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Aprovado pela Secretaria de Gestão e Inovação.</w:t>
    </w:r>
  </w:p>
  <w:p>
    <w:pPr>
      <w:pStyle w:val="13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Identidade visual pela Secretaria de Gestão e Inovação</w:t>
    </w:r>
  </w:p>
  <w:p>
    <w:pPr>
      <w:pStyle w:val="13"/>
      <w:rPr>
        <w:rFonts w:ascii="Arial" w:hAnsi="Arial" w:cs="Arial"/>
        <w:sz w:val="12"/>
        <w:szCs w:val="1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983857"/>
    <w:multiLevelType w:val="multilevel"/>
    <w:tmpl w:val="11983857"/>
    <w:lvl w:ilvl="0" w:tentative="0">
      <w:start w:val="1"/>
      <w:numFmt w:val="decimal"/>
      <w:pStyle w:val="28"/>
      <w:lvlText w:val="%1."/>
      <w:lvlJc w:val="left"/>
      <w:pPr>
        <w:ind w:left="360" w:hanging="360"/>
      </w:pPr>
      <w:rPr>
        <w:b/>
        <w:color w:val="auto"/>
      </w:rPr>
    </w:lvl>
    <w:lvl w:ilvl="1" w:tentative="0">
      <w:start w:val="1"/>
      <w:numFmt w:val="decimal"/>
      <w:pStyle w:val="34"/>
      <w:lvlText w:val="%1.%2."/>
      <w:lvlJc w:val="left"/>
      <w:pPr>
        <w:ind w:left="1283" w:hanging="432"/>
      </w:pPr>
      <w:rPr>
        <w:sz w:val="20"/>
        <w:szCs w:val="20"/>
      </w:rPr>
    </w:lvl>
    <w:lvl w:ilvl="2" w:tentative="0">
      <w:start w:val="1"/>
      <w:numFmt w:val="decimal"/>
      <w:pStyle w:val="40"/>
      <w:lvlText w:val="%1.%2.%3."/>
      <w:lvlJc w:val="left"/>
      <w:pPr>
        <w:ind w:left="1497" w:hanging="504"/>
      </w:pPr>
    </w:lvl>
    <w:lvl w:ilvl="3" w:tentative="0">
      <w:start w:val="1"/>
      <w:numFmt w:val="decimal"/>
      <w:pStyle w:val="43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removePersonalInformation/>
  <w:mirrorMargin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noPunctuationKerning w:val="1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645D1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C63AF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17D7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01945110"/>
    <w:rsid w:val="076E34C8"/>
    <w:rsid w:val="0A985477"/>
    <w:rsid w:val="0AAD0691"/>
    <w:rsid w:val="0B81776F"/>
    <w:rsid w:val="0E4C34B4"/>
    <w:rsid w:val="11946B28"/>
    <w:rsid w:val="127B0C62"/>
    <w:rsid w:val="12E05B9B"/>
    <w:rsid w:val="135D5823"/>
    <w:rsid w:val="13938DA0"/>
    <w:rsid w:val="16AC0CEE"/>
    <w:rsid w:val="16E021F0"/>
    <w:rsid w:val="174817BF"/>
    <w:rsid w:val="184DD666"/>
    <w:rsid w:val="18702E6B"/>
    <w:rsid w:val="1C1661A7"/>
    <w:rsid w:val="1E2E32D9"/>
    <w:rsid w:val="1F521EFA"/>
    <w:rsid w:val="203D0AF4"/>
    <w:rsid w:val="20CA0B32"/>
    <w:rsid w:val="221B2F81"/>
    <w:rsid w:val="241F1A22"/>
    <w:rsid w:val="26CF16F3"/>
    <w:rsid w:val="2808789B"/>
    <w:rsid w:val="306F6904"/>
    <w:rsid w:val="31A27DF6"/>
    <w:rsid w:val="32B05F46"/>
    <w:rsid w:val="333D6AF1"/>
    <w:rsid w:val="348C9DA7"/>
    <w:rsid w:val="367A38C8"/>
    <w:rsid w:val="36F72004"/>
    <w:rsid w:val="3B62097B"/>
    <w:rsid w:val="3C4B742A"/>
    <w:rsid w:val="3CAD6F35"/>
    <w:rsid w:val="3FF16CE8"/>
    <w:rsid w:val="41991DB0"/>
    <w:rsid w:val="45193749"/>
    <w:rsid w:val="45D034C9"/>
    <w:rsid w:val="46457672"/>
    <w:rsid w:val="46AA3CDA"/>
    <w:rsid w:val="46DB66D6"/>
    <w:rsid w:val="481438CD"/>
    <w:rsid w:val="48E640D2"/>
    <w:rsid w:val="49B868ED"/>
    <w:rsid w:val="4CDDC88E"/>
    <w:rsid w:val="4D7636F6"/>
    <w:rsid w:val="4E0D66B4"/>
    <w:rsid w:val="4FA25A31"/>
    <w:rsid w:val="4FE90B52"/>
    <w:rsid w:val="56BE59C5"/>
    <w:rsid w:val="58E0E03C"/>
    <w:rsid w:val="59186BE9"/>
    <w:rsid w:val="5B767C9D"/>
    <w:rsid w:val="5C281853"/>
    <w:rsid w:val="5EBCF017"/>
    <w:rsid w:val="62BC1011"/>
    <w:rsid w:val="6AF553A3"/>
    <w:rsid w:val="6C0E7A4E"/>
    <w:rsid w:val="6D491066"/>
    <w:rsid w:val="71E825F3"/>
    <w:rsid w:val="774A6F06"/>
    <w:rsid w:val="779A5C58"/>
    <w:rsid w:val="7B2E68A3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unhideWhenUsed="0" w:uiPriority="0" w:semiHidden="0" w:name="Strong"/>
    <w:lsdException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qFormat="1" w:unhideWhenUsed="0" w:uiPriority="34" w:semiHidden="0" w:name="List Paragraph"/>
    <w:lsdException w:qFormat="1" w:unhideWhenUsed="0" w:uiPriority="29" w:semiHidden="0" w:name="Quote"/>
  </w:latentStyles>
  <w:style w:type="paragraph" w:default="1" w:styleId="1">
    <w:name w:val="Normal"/>
    <w:uiPriority w:val="0"/>
    <w:rPr>
      <w:rFonts w:ascii="Ecofont_Spranq_eco_Sans" w:hAnsi="Ecofont_Spranq_eco_Sans" w:eastAsia="Times New Roman" w:cs="Tahoma"/>
      <w:sz w:val="24"/>
      <w:szCs w:val="24"/>
      <w:lang w:val="pt-BR" w:eastAsia="pt-BR" w:bidi="ar-SA"/>
    </w:rPr>
  </w:style>
  <w:style w:type="paragraph" w:styleId="2">
    <w:name w:val="heading 1"/>
    <w:basedOn w:val="1"/>
    <w:next w:val="1"/>
    <w:link w:val="26"/>
    <w:uiPriority w:val="0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SimSun" w:hAnsi="SimSun" w:eastAsia="SimSun" w:cs="Times New Roman"/>
      <w:b/>
      <w:bCs/>
      <w:i/>
      <w:sz w:val="36"/>
      <w:szCs w:val="36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annotation reference"/>
    <w:basedOn w:val="4"/>
    <w:semiHidden/>
    <w:unhideWhenUsed/>
    <w:qFormat/>
    <w:uiPriority w:val="0"/>
    <w:rPr>
      <w:sz w:val="16"/>
      <w:szCs w:val="16"/>
    </w:rPr>
  </w:style>
  <w:style w:type="character" w:styleId="7">
    <w:name w:val="Hyperlink"/>
    <w:unhideWhenUsed/>
    <w:qFormat/>
    <w:uiPriority w:val="99"/>
    <w:rPr>
      <w:color w:val="0000FF"/>
      <w:u w:val="single"/>
    </w:rPr>
  </w:style>
  <w:style w:type="paragraph" w:styleId="8">
    <w:name w:val="Body Text"/>
    <w:basedOn w:val="1"/>
    <w:link w:val="17"/>
    <w:unhideWhenUsed/>
    <w:qFormat/>
    <w:uiPriority w:val="9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9">
    <w:name w:val="annotation text"/>
    <w:basedOn w:val="1"/>
    <w:link w:val="29"/>
    <w:unhideWhenUsed/>
    <w:qFormat/>
    <w:uiPriority w:val="0"/>
    <w:rPr>
      <w:sz w:val="20"/>
      <w:szCs w:val="20"/>
    </w:rPr>
  </w:style>
  <w:style w:type="paragraph" w:styleId="10">
    <w:name w:val="Normal (Web)"/>
    <w:basedOn w:val="1"/>
    <w:qFormat/>
    <w:uiPriority w:val="0"/>
  </w:style>
  <w:style w:type="paragraph" w:styleId="11">
    <w:name w:val="header"/>
    <w:basedOn w:val="1"/>
    <w:link w:val="19"/>
    <w:unhideWhenUsed/>
    <w:qFormat/>
    <w:uiPriority w:val="0"/>
    <w:pPr>
      <w:tabs>
        <w:tab w:val="center" w:pos="4252"/>
        <w:tab w:val="right" w:pos="8504"/>
      </w:tabs>
    </w:pPr>
  </w:style>
  <w:style w:type="paragraph" w:styleId="12">
    <w:name w:val="annotation subject"/>
    <w:basedOn w:val="9"/>
    <w:next w:val="9"/>
    <w:link w:val="30"/>
    <w:semiHidden/>
    <w:unhideWhenUsed/>
    <w:qFormat/>
    <w:uiPriority w:val="0"/>
    <w:rPr>
      <w:b/>
      <w:bCs/>
    </w:rPr>
  </w:style>
  <w:style w:type="paragraph" w:styleId="13">
    <w:name w:val="footer"/>
    <w:basedOn w:val="1"/>
    <w:link w:val="20"/>
    <w:unhideWhenUsed/>
    <w:qFormat/>
    <w:uiPriority w:val="99"/>
    <w:pPr>
      <w:tabs>
        <w:tab w:val="center" w:pos="4252"/>
        <w:tab w:val="right" w:pos="8504"/>
      </w:tabs>
    </w:pPr>
  </w:style>
  <w:style w:type="paragraph" w:styleId="14">
    <w:name w:val="Balloon Text"/>
    <w:basedOn w:val="1"/>
    <w:link w:val="31"/>
    <w:semiHidden/>
    <w:unhideWhenUsed/>
    <w:qFormat/>
    <w:uiPriority w:val="0"/>
    <w:rPr>
      <w:rFonts w:ascii="Segoe UI" w:hAnsi="Segoe UI" w:cs="Segoe UI"/>
      <w:sz w:val="18"/>
      <w:szCs w:val="18"/>
    </w:rPr>
  </w:style>
  <w:style w:type="paragraph" w:customStyle="1" w:styleId="15">
    <w:name w:val="Grade Colorida - Ênfase 11"/>
    <w:basedOn w:val="1"/>
    <w:next w:val="1"/>
    <w:link w:val="16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16">
    <w:name w:val="Grade Colorida - Ênfase 1 Char"/>
    <w:link w:val="15"/>
    <w:qFormat/>
    <w:uiPriority w:val="0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customStyle="1" w:styleId="17">
    <w:name w:val="Corpo de texto Char"/>
    <w:link w:val="8"/>
    <w:qFormat/>
    <w:uiPriority w:val="99"/>
    <w:rPr>
      <w:sz w:val="24"/>
      <w:szCs w:val="24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character" w:customStyle="1" w:styleId="19">
    <w:name w:val="Cabeçalho Char"/>
    <w:basedOn w:val="4"/>
    <w:link w:val="11"/>
    <w:qFormat/>
    <w:uiPriority w:val="0"/>
    <w:rPr>
      <w:rFonts w:ascii="Ecofont_Spranq_eco_Sans" w:hAnsi="Ecofont_Spranq_eco_Sans" w:cs="Tahoma"/>
      <w:sz w:val="24"/>
      <w:szCs w:val="24"/>
    </w:rPr>
  </w:style>
  <w:style w:type="character" w:customStyle="1" w:styleId="20">
    <w:name w:val="Rodapé Char"/>
    <w:basedOn w:val="4"/>
    <w:link w:val="13"/>
    <w:qFormat/>
    <w:uiPriority w:val="99"/>
    <w:rPr>
      <w:rFonts w:ascii="Ecofont_Spranq_eco_Sans" w:hAnsi="Ecofont_Spranq_eco_Sans" w:cs="Tahoma"/>
      <w:sz w:val="24"/>
      <w:szCs w:val="24"/>
    </w:rPr>
  </w:style>
  <w:style w:type="paragraph" w:customStyle="1" w:styleId="21">
    <w:name w:val="citação 2"/>
    <w:basedOn w:val="22"/>
    <w:link w:val="23"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paragraph" w:styleId="22">
    <w:name w:val="Quote"/>
    <w:basedOn w:val="1"/>
    <w:next w:val="1"/>
    <w:link w:val="24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23">
    <w:name w:val="citação 2 Char"/>
    <w:basedOn w:val="24"/>
    <w:link w:val="21"/>
    <w:qFormat/>
    <w:uiPriority w:val="0"/>
    <w:rPr>
      <w:rFonts w:ascii="Ecofont_Spranq_eco_Sans" w:hAnsi="Ecofont_Spranq_eco_Sans" w:eastAsia="Calibri" w:cs="Tahoma"/>
      <w:color w:val="000000"/>
      <w:sz w:val="24"/>
      <w:szCs w:val="24"/>
      <w:shd w:val="clear" w:color="auto" w:fill="FFFFCC"/>
      <w:lang w:eastAsia="en-US"/>
    </w:rPr>
  </w:style>
  <w:style w:type="character" w:customStyle="1" w:styleId="24">
    <w:name w:val="Citação Char"/>
    <w:basedOn w:val="4"/>
    <w:link w:val="22"/>
    <w:qFormat/>
    <w:uiPriority w:val="29"/>
    <w:rPr>
      <w:rFonts w:ascii="Ecofont_Spranq_eco_Sans" w:hAnsi="Ecofont_Spranq_eco_Sans" w:cs="Tahoma"/>
      <w:i/>
      <w:iCs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paragraph" w:customStyle="1" w:styleId="25">
    <w:name w:val="Nivel1"/>
    <w:basedOn w:val="2"/>
    <w:next w:val="1"/>
    <w:link w:val="27"/>
    <w:qFormat/>
    <w:uiPriority w:val="0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26">
    <w:name w:val="Título 1 Char"/>
    <w:basedOn w:val="4"/>
    <w:link w:val="2"/>
    <w:qFormat/>
    <w:uiPriority w:val="0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7">
    <w:name w:val="Nivel1 Char"/>
    <w:basedOn w:val="26"/>
    <w:link w:val="25"/>
    <w:qFormat/>
    <w:uiPriority w:val="0"/>
    <w:rPr>
      <w:rFonts w:ascii="Arial" w:hAnsi="Arial" w:cs="Arial" w:eastAsiaTheme="majorEastAsia"/>
      <w:color w:val="376092" w:themeColor="accent1" w:themeShade="BF"/>
      <w:sz w:val="28"/>
      <w:szCs w:val="28"/>
    </w:rPr>
  </w:style>
  <w:style w:type="paragraph" w:customStyle="1" w:styleId="28">
    <w:name w:val="Nivel 01"/>
    <w:basedOn w:val="2"/>
    <w:next w:val="1"/>
    <w:link w:val="33"/>
    <w:qFormat/>
    <w:uiPriority w:val="0"/>
    <w:pPr>
      <w:numPr>
        <w:ilvl w:val="0"/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customStyle="1" w:styleId="29">
    <w:name w:val="Texto de comentário Char"/>
    <w:basedOn w:val="4"/>
    <w:link w:val="9"/>
    <w:qFormat/>
    <w:uiPriority w:val="0"/>
    <w:rPr>
      <w:rFonts w:ascii="Ecofont_Spranq_eco_Sans" w:hAnsi="Ecofont_Spranq_eco_Sans" w:cs="Tahoma"/>
    </w:rPr>
  </w:style>
  <w:style w:type="character" w:customStyle="1" w:styleId="30">
    <w:name w:val="Assunto do comentário Char"/>
    <w:basedOn w:val="29"/>
    <w:link w:val="12"/>
    <w:semiHidden/>
    <w:qFormat/>
    <w:uiPriority w:val="0"/>
    <w:rPr>
      <w:rFonts w:ascii="Ecofont_Spranq_eco_Sans" w:hAnsi="Ecofont_Spranq_eco_Sans" w:cs="Tahoma"/>
      <w:b/>
      <w:bCs/>
    </w:rPr>
  </w:style>
  <w:style w:type="character" w:customStyle="1" w:styleId="31">
    <w:name w:val="Texto de balão Char"/>
    <w:basedOn w:val="4"/>
    <w:link w:val="14"/>
    <w:semiHidden/>
    <w:qFormat/>
    <w:uiPriority w:val="0"/>
    <w:rPr>
      <w:rFonts w:ascii="Segoe UI" w:hAnsi="Segoe UI" w:cs="Segoe UI"/>
      <w:sz w:val="18"/>
      <w:szCs w:val="18"/>
    </w:rPr>
  </w:style>
  <w:style w:type="paragraph" w:customStyle="1" w:styleId="32">
    <w:name w:val="Revisão1"/>
    <w:hidden/>
    <w:semiHidden/>
    <w:qFormat/>
    <w:uiPriority w:val="99"/>
    <w:rPr>
      <w:rFonts w:ascii="Ecofont_Spranq_eco_Sans" w:hAnsi="Ecofont_Spranq_eco_Sans" w:eastAsia="Times New Roman" w:cs="Tahoma"/>
      <w:sz w:val="24"/>
      <w:szCs w:val="24"/>
      <w:lang w:val="pt-BR" w:eastAsia="pt-BR" w:bidi="ar-SA"/>
    </w:rPr>
  </w:style>
  <w:style w:type="character" w:customStyle="1" w:styleId="33">
    <w:name w:val="Nivel 01 Char"/>
    <w:basedOn w:val="4"/>
    <w:link w:val="28"/>
    <w:qFormat/>
    <w:uiPriority w:val="0"/>
    <w:rPr>
      <w:rFonts w:ascii="Arial" w:hAnsi="Arial" w:cs="Arial" w:eastAsiaTheme="majorEastAsia"/>
      <w:b/>
      <w:bCs/>
      <w:lang w:eastAsia="en-US"/>
    </w:rPr>
  </w:style>
  <w:style w:type="paragraph" w:customStyle="1" w:styleId="34">
    <w:name w:val="Nivel 2"/>
    <w:basedOn w:val="1"/>
    <w:link w:val="35"/>
    <w:qFormat/>
    <w:uiPriority w:val="0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35">
    <w:name w:val="Nivel 2 Char"/>
    <w:basedOn w:val="4"/>
    <w:link w:val="34"/>
    <w:qFormat/>
    <w:locked/>
    <w:uiPriority w:val="0"/>
    <w:rPr>
      <w:rFonts w:ascii="Arial" w:hAnsi="Arial" w:cs="Arial"/>
    </w:rPr>
  </w:style>
  <w:style w:type="paragraph" w:customStyle="1" w:styleId="36">
    <w:name w:val="Nível 2 -Red"/>
    <w:basedOn w:val="34"/>
    <w:link w:val="37"/>
    <w:qFormat/>
    <w:uiPriority w:val="0"/>
    <w:rPr>
      <w:i/>
      <w:iCs/>
      <w:color w:val="FF0000"/>
    </w:rPr>
  </w:style>
  <w:style w:type="character" w:customStyle="1" w:styleId="37">
    <w:name w:val="Nível 2 -Red Char"/>
    <w:basedOn w:val="35"/>
    <w:link w:val="36"/>
    <w:qFormat/>
    <w:uiPriority w:val="0"/>
    <w:rPr>
      <w:rFonts w:ascii="Arial" w:hAnsi="Arial" w:cs="Arial"/>
      <w:i/>
      <w:iCs/>
      <w:color w:val="FF0000"/>
    </w:rPr>
  </w:style>
  <w:style w:type="paragraph" w:customStyle="1" w:styleId="38">
    <w:name w:val="ou"/>
    <w:basedOn w:val="18"/>
    <w:link w:val="39"/>
    <w:qFormat/>
    <w:uiPriority w:val="0"/>
    <w:pPr>
      <w:spacing w:before="60" w:after="60" w:line="259" w:lineRule="auto"/>
      <w:ind w:left="0"/>
      <w:contextualSpacing w:val="0"/>
      <w:jc w:val="center"/>
    </w:pPr>
    <w:rPr>
      <w:rFonts w:ascii="Arial" w:hAnsi="Arial" w:cs="Arial" w:eastAsiaTheme="minorHAnsi"/>
      <w:b/>
      <w:bCs/>
      <w:i/>
      <w:iCs/>
      <w:color w:val="FF0000"/>
      <w:sz w:val="20"/>
      <w:u w:val="single"/>
    </w:rPr>
  </w:style>
  <w:style w:type="character" w:customStyle="1" w:styleId="39">
    <w:name w:val="ou Char"/>
    <w:basedOn w:val="4"/>
    <w:link w:val="38"/>
    <w:qFormat/>
    <w:uiPriority w:val="0"/>
    <w:rPr>
      <w:rFonts w:ascii="Arial" w:hAnsi="Arial" w:cs="Arial" w:eastAsiaTheme="minorHAnsi"/>
      <w:b/>
      <w:bCs/>
      <w:i/>
      <w:iCs/>
      <w:color w:val="FF0000"/>
      <w:szCs w:val="24"/>
      <w:u w:val="single"/>
    </w:rPr>
  </w:style>
  <w:style w:type="paragraph" w:customStyle="1" w:styleId="40">
    <w:name w:val="Nível 3-R"/>
    <w:basedOn w:val="1"/>
    <w:link w:val="41"/>
    <w:qFormat/>
    <w:uiPriority w:val="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 w:eastAsiaTheme="minorEastAsia"/>
      <w:i/>
      <w:iCs/>
      <w:color w:val="FF0000"/>
      <w:sz w:val="20"/>
      <w:szCs w:val="20"/>
    </w:rPr>
  </w:style>
  <w:style w:type="character" w:customStyle="1" w:styleId="41">
    <w:name w:val="Nível 3-R Char"/>
    <w:basedOn w:val="4"/>
    <w:link w:val="40"/>
    <w:qFormat/>
    <w:uiPriority w:val="0"/>
    <w:rPr>
      <w:rFonts w:ascii="Arial" w:hAnsi="Arial" w:cs="Arial" w:eastAsiaTheme="minorEastAsia"/>
      <w:i/>
      <w:iCs/>
      <w:color w:val="FF0000"/>
    </w:rPr>
  </w:style>
  <w:style w:type="paragraph" w:customStyle="1" w:styleId="42">
    <w:name w:val="Nível 3"/>
    <w:basedOn w:val="40"/>
    <w:link w:val="44"/>
    <w:qFormat/>
    <w:uiPriority w:val="0"/>
    <w:rPr>
      <w:rFonts w:eastAsia="Times New Roman"/>
      <w:i w:val="0"/>
      <w:iCs w:val="0"/>
      <w:color w:val="auto"/>
    </w:rPr>
  </w:style>
  <w:style w:type="paragraph" w:customStyle="1" w:styleId="43">
    <w:name w:val="Nível 4"/>
    <w:basedOn w:val="42"/>
    <w:link w:val="46"/>
    <w:qFormat/>
    <w:uiPriority w:val="0"/>
    <w:pPr>
      <w:numPr>
        <w:ilvl w:val="3"/>
      </w:numPr>
      <w:ind w:left="567" w:firstLine="0"/>
    </w:pPr>
  </w:style>
  <w:style w:type="character" w:customStyle="1" w:styleId="44">
    <w:name w:val="Nível 3 Char"/>
    <w:basedOn w:val="41"/>
    <w:link w:val="42"/>
    <w:qFormat/>
    <w:uiPriority w:val="0"/>
    <w:rPr>
      <w:rFonts w:ascii="Arial" w:hAnsi="Arial" w:cs="Arial" w:eastAsiaTheme="minorEastAsia"/>
      <w:i w:val="0"/>
      <w:iCs w:val="0"/>
      <w:color w:val="FF0000"/>
    </w:rPr>
  </w:style>
  <w:style w:type="paragraph" w:customStyle="1" w:styleId="45">
    <w:name w:val="SubTitNN"/>
    <w:basedOn w:val="1"/>
    <w:link w:val="47"/>
    <w:qFormat/>
    <w:uiPriority w:val="0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46">
    <w:name w:val="Nível 4 Char"/>
    <w:basedOn w:val="44"/>
    <w:link w:val="43"/>
    <w:qFormat/>
    <w:uiPriority w:val="0"/>
    <w:rPr>
      <w:rFonts w:ascii="Arial" w:hAnsi="Arial" w:cs="Arial" w:eastAsiaTheme="minorEastAsia"/>
      <w:color w:val="FF0000"/>
    </w:rPr>
  </w:style>
  <w:style w:type="character" w:customStyle="1" w:styleId="47">
    <w:name w:val="SubTitNN Char"/>
    <w:basedOn w:val="4"/>
    <w:link w:val="45"/>
    <w:qFormat/>
    <w:uiPriority w:val="0"/>
    <w:rPr>
      <w:rFonts w:ascii="Arial" w:hAnsi="Arial" w:cs="Arial"/>
      <w:b/>
      <w:bCs/>
      <w:i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A1BF10-BA21-41FC-B966-68D460302E98}">
  <ds:schemaRefs/>
</ds:datastoreItem>
</file>

<file path=customXml/itemProps2.xml><?xml version="1.0" encoding="utf-8"?>
<ds:datastoreItem xmlns:ds="http://schemas.openxmlformats.org/officeDocument/2006/customXml" ds:itemID="{2E413F30-1464-43D5-A034-C65A5C7E8894}">
  <ds:schemaRefs/>
</ds:datastoreItem>
</file>

<file path=customXml/itemProps3.xml><?xml version="1.0" encoding="utf-8"?>
<ds:datastoreItem xmlns:ds="http://schemas.openxmlformats.org/officeDocument/2006/customXml" ds:itemID="{8783BEA8-3872-4366-A978-9811F2408A21}">
  <ds:schemaRefs/>
</ds:datastoreItem>
</file>

<file path=customXml/itemProps4.xml><?xml version="1.0" encoding="utf-8"?>
<ds:datastoreItem xmlns:ds="http://schemas.openxmlformats.org/officeDocument/2006/customXml" ds:itemID="{384269E5-3F4A-46A6-9868-DF427E392C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3466</Words>
  <Characters>18948</Characters>
  <Lines>157</Lines>
  <Paragraphs>44</Paragraphs>
  <TotalTime>66</TotalTime>
  <ScaleCrop>false</ScaleCrop>
  <LinksUpToDate>false</LinksUpToDate>
  <CharactersWithSpaces>22370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cp:lastPrinted>2023-10-02T13:09:00Z</cp:lastPrinted>
  <dcterms:modified xsi:type="dcterms:W3CDTF">2023-10-30T13:29:53Z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KSOProductBuildVer">
    <vt:lpwstr>1046-12.2.0.13266</vt:lpwstr>
  </property>
  <property fmtid="{D5CDD505-2E9C-101B-9397-08002B2CF9AE}" pid="4" name="ICV">
    <vt:lpwstr>E1215DF2BD4C4CA3996972718946A065_13</vt:lpwstr>
  </property>
</Properties>
</file>